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shd w:val="clear" w:color="auto" w:fill="FDFAF5"/>
        <w:tblCellMar>
          <w:left w:w="0" w:type="dxa"/>
          <w:right w:w="0" w:type="dxa"/>
        </w:tblCellMar>
        <w:tblLook w:val="04A0"/>
      </w:tblPr>
      <w:tblGrid>
        <w:gridCol w:w="3405"/>
        <w:gridCol w:w="1005"/>
      </w:tblGrid>
      <w:tr w:rsidR="00EE45A0" w:rsidRPr="00EE45A0" w:rsidTr="00EE45A0">
        <w:trPr>
          <w:tblCellSpacing w:w="15" w:type="dxa"/>
          <w:jc w:val="center"/>
        </w:trPr>
        <w:tc>
          <w:tcPr>
            <w:tcW w:w="0" w:type="auto"/>
            <w:shd w:val="clear" w:color="auto" w:fill="FDFAF5"/>
            <w:vAlign w:val="center"/>
            <w:hideMark/>
          </w:tcPr>
          <w:p w:rsidR="00EE45A0" w:rsidRPr="00EE45A0" w:rsidRDefault="00EE45A0" w:rsidP="00EE45A0">
            <w:pPr>
              <w:widowControl/>
              <w:rPr>
                <w:rFonts w:ascii="inherit" w:eastAsia="宋体" w:hAnsi="inherit" w:cs="宋体"/>
                <w:color w:val="FF0000"/>
                <w:kern w:val="0"/>
                <w:sz w:val="48"/>
                <w:szCs w:val="48"/>
              </w:rPr>
            </w:pPr>
            <w:r w:rsidRPr="00EE45A0">
              <w:rPr>
                <w:rFonts w:ascii="inherit" w:eastAsia="宋体" w:hAnsi="inherit" w:cs="宋体"/>
                <w:color w:val="FF0000"/>
                <w:kern w:val="0"/>
                <w:sz w:val="48"/>
                <w:szCs w:val="48"/>
              </w:rPr>
              <w:t>财政部</w:t>
            </w:r>
          </w:p>
        </w:tc>
        <w:tc>
          <w:tcPr>
            <w:tcW w:w="0" w:type="auto"/>
            <w:vMerge w:val="restart"/>
            <w:shd w:val="clear" w:color="auto" w:fill="FDFAF5"/>
            <w:vAlign w:val="center"/>
            <w:hideMark/>
          </w:tcPr>
          <w:p w:rsidR="00EE45A0" w:rsidRPr="00EE45A0" w:rsidRDefault="00EE45A0" w:rsidP="00EE45A0">
            <w:pPr>
              <w:widowControl/>
              <w:rPr>
                <w:rFonts w:ascii="inherit" w:eastAsia="宋体" w:hAnsi="inherit" w:cs="宋体"/>
                <w:color w:val="FF0000"/>
                <w:kern w:val="0"/>
                <w:sz w:val="48"/>
                <w:szCs w:val="48"/>
              </w:rPr>
            </w:pPr>
            <w:r w:rsidRPr="00EE45A0">
              <w:rPr>
                <w:rFonts w:ascii="inherit" w:eastAsia="宋体" w:hAnsi="inherit" w:cs="宋体"/>
                <w:color w:val="FF0000"/>
                <w:kern w:val="0"/>
                <w:sz w:val="48"/>
                <w:szCs w:val="48"/>
              </w:rPr>
              <w:t>文件</w:t>
            </w:r>
          </w:p>
        </w:tc>
      </w:tr>
      <w:tr w:rsidR="00EE45A0" w:rsidRPr="00EE45A0" w:rsidTr="00EE45A0">
        <w:trPr>
          <w:tblCellSpacing w:w="15" w:type="dxa"/>
          <w:jc w:val="center"/>
        </w:trPr>
        <w:tc>
          <w:tcPr>
            <w:tcW w:w="0" w:type="auto"/>
            <w:shd w:val="clear" w:color="auto" w:fill="FDFAF5"/>
            <w:vAlign w:val="center"/>
            <w:hideMark/>
          </w:tcPr>
          <w:p w:rsidR="00EE45A0" w:rsidRPr="00EE45A0" w:rsidRDefault="00EE45A0" w:rsidP="00EE45A0">
            <w:pPr>
              <w:widowControl/>
              <w:rPr>
                <w:rFonts w:ascii="inherit" w:eastAsia="宋体" w:hAnsi="inherit" w:cs="宋体"/>
                <w:color w:val="FF0000"/>
                <w:kern w:val="0"/>
                <w:sz w:val="48"/>
                <w:szCs w:val="48"/>
              </w:rPr>
            </w:pPr>
            <w:r w:rsidRPr="00EE45A0">
              <w:rPr>
                <w:rFonts w:ascii="inherit" w:eastAsia="宋体" w:hAnsi="inherit" w:cs="宋体"/>
                <w:color w:val="FF0000"/>
                <w:kern w:val="0"/>
                <w:sz w:val="48"/>
                <w:szCs w:val="48"/>
              </w:rPr>
              <w:t>中国民用航空局</w:t>
            </w:r>
          </w:p>
        </w:tc>
        <w:tc>
          <w:tcPr>
            <w:tcW w:w="0" w:type="auto"/>
            <w:vMerge/>
            <w:shd w:val="clear" w:color="auto" w:fill="FDFAF5"/>
            <w:vAlign w:val="center"/>
            <w:hideMark/>
          </w:tcPr>
          <w:p w:rsidR="00EE45A0" w:rsidRPr="00EE45A0" w:rsidRDefault="00EE45A0" w:rsidP="00EE45A0">
            <w:pPr>
              <w:widowControl/>
              <w:jc w:val="left"/>
              <w:rPr>
                <w:rFonts w:ascii="inherit" w:eastAsia="宋体" w:hAnsi="inherit" w:cs="宋体"/>
                <w:color w:val="FF0000"/>
                <w:kern w:val="0"/>
                <w:sz w:val="48"/>
                <w:szCs w:val="48"/>
              </w:rPr>
            </w:pPr>
          </w:p>
        </w:tc>
      </w:tr>
    </w:tbl>
    <w:p w:rsidR="00EE45A0" w:rsidRPr="00EE45A0" w:rsidRDefault="00EE45A0" w:rsidP="00EE45A0">
      <w:pPr>
        <w:widowControl/>
        <w:shd w:val="clear" w:color="auto" w:fill="FDFAF5"/>
        <w:spacing w:before="100" w:beforeAutospacing="1" w:after="100" w:afterAutospacing="1"/>
        <w:jc w:val="center"/>
        <w:rPr>
          <w:rFonts w:ascii="Simsun" w:eastAsia="宋体" w:hAnsi="Simsun" w:cs="宋体"/>
          <w:color w:val="000000"/>
          <w:kern w:val="0"/>
          <w:sz w:val="18"/>
          <w:szCs w:val="18"/>
        </w:rPr>
      </w:pPr>
      <w:r w:rsidRPr="00EE45A0">
        <w:rPr>
          <w:rFonts w:ascii="Simsun" w:eastAsia="宋体" w:hAnsi="Simsun" w:cs="宋体"/>
          <w:color w:val="000000"/>
          <w:kern w:val="0"/>
          <w:sz w:val="18"/>
          <w:szCs w:val="18"/>
        </w:rPr>
        <w:t> </w:t>
      </w:r>
    </w:p>
    <w:p w:rsidR="00EE45A0" w:rsidRPr="00EE45A0" w:rsidRDefault="00EE45A0" w:rsidP="00EE45A0">
      <w:pPr>
        <w:widowControl/>
        <w:shd w:val="clear" w:color="auto" w:fill="FDFAF5"/>
        <w:jc w:val="center"/>
        <w:rPr>
          <w:rFonts w:ascii="Simsun" w:eastAsia="宋体" w:hAnsi="Simsun" w:cs="宋体"/>
          <w:color w:val="000000"/>
          <w:kern w:val="0"/>
          <w:sz w:val="18"/>
          <w:szCs w:val="18"/>
        </w:rPr>
      </w:pPr>
      <w:r w:rsidRPr="00EE45A0">
        <w:rPr>
          <w:rFonts w:ascii="Simsun" w:eastAsia="宋体" w:hAnsi="Simsun" w:cs="宋体"/>
          <w:color w:val="000000"/>
          <w:kern w:val="0"/>
          <w:sz w:val="18"/>
          <w:szCs w:val="18"/>
        </w:rPr>
        <w:t>财库</w:t>
      </w:r>
      <w:r w:rsidRPr="00EE45A0">
        <w:rPr>
          <w:rFonts w:ascii="Simsun" w:eastAsia="宋体" w:hAnsi="Simsun" w:cs="宋体"/>
          <w:color w:val="000000"/>
          <w:kern w:val="0"/>
          <w:sz w:val="18"/>
          <w:szCs w:val="18"/>
        </w:rPr>
        <w:t>[2014]33</w:t>
      </w:r>
      <w:r w:rsidRPr="00EE45A0">
        <w:rPr>
          <w:rFonts w:ascii="Simsun" w:eastAsia="宋体" w:hAnsi="Simsun" w:cs="宋体"/>
          <w:color w:val="000000"/>
          <w:kern w:val="0"/>
          <w:sz w:val="18"/>
          <w:szCs w:val="18"/>
        </w:rPr>
        <w:t>号</w:t>
      </w:r>
    </w:p>
    <w:p w:rsidR="00EE45A0" w:rsidRPr="00EE45A0" w:rsidRDefault="00EE45A0" w:rsidP="00EE45A0">
      <w:pPr>
        <w:widowControl/>
        <w:shd w:val="clear" w:color="auto" w:fill="FDFAF5"/>
        <w:jc w:val="center"/>
        <w:rPr>
          <w:rFonts w:ascii="Simsun" w:eastAsia="宋体" w:hAnsi="Simsun" w:cs="宋体"/>
          <w:color w:val="000000"/>
          <w:kern w:val="0"/>
          <w:sz w:val="18"/>
          <w:szCs w:val="18"/>
        </w:rPr>
      </w:pPr>
      <w:r w:rsidRPr="00EE45A0">
        <w:rPr>
          <w:rFonts w:ascii="Simsun" w:eastAsia="宋体" w:hAnsi="Simsun" w:cs="宋体"/>
          <w:color w:val="000000"/>
          <w:kern w:val="0"/>
          <w:sz w:val="18"/>
          <w:szCs w:val="18"/>
        </w:rPr>
        <w:pict>
          <v:rect id="_x0000_i1025" style="width:450pt;height:1.5pt" o:hrpct="0" o:hralign="center" o:hrstd="t" o:hrnoshade="t" o:hr="t" fillcolor="red" stroked="f"/>
        </w:pict>
      </w:r>
    </w:p>
    <w:p w:rsidR="00EE45A0" w:rsidRPr="00EE45A0" w:rsidRDefault="00EE45A0" w:rsidP="00EE45A0">
      <w:pPr>
        <w:widowControl/>
        <w:shd w:val="clear" w:color="auto" w:fill="FDFAF5"/>
        <w:spacing w:line="600" w:lineRule="atLeast"/>
        <w:jc w:val="center"/>
        <w:rPr>
          <w:rFonts w:ascii="Arial" w:eastAsia="宋体" w:hAnsi="Arial" w:cs="Arial"/>
          <w:b/>
          <w:bCs/>
          <w:color w:val="000000"/>
          <w:kern w:val="0"/>
          <w:sz w:val="30"/>
          <w:szCs w:val="30"/>
        </w:rPr>
      </w:pPr>
      <w:r w:rsidRPr="00EE45A0">
        <w:rPr>
          <w:rFonts w:ascii="Arial" w:eastAsia="宋体" w:hAnsi="Arial" w:cs="Arial"/>
          <w:b/>
          <w:bCs/>
          <w:color w:val="000000"/>
          <w:kern w:val="0"/>
          <w:sz w:val="30"/>
          <w:szCs w:val="30"/>
        </w:rPr>
        <w:t>关于加强公务机票购买管理有关事项的通知</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党中央有关部门，国务院各部委、各直属机构，全国人大常委会办公厅，全国政协办公厅，高法院，高检院，各人民团体，各民主党派，各省、自治区、直辖市、计划单列市人民政府外事办公室、财政厅（局），新疆生产建设兵团财务局、外事局：</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为贯彻落实《党政机关厉行节约反对浪费条例》要求，规范公务机票购买行为，根据《财政部外交部关于印发〈因公临时出国经费管理办法〉的通知》（财行</w:t>
      </w:r>
      <w:r w:rsidRPr="00EE45A0">
        <w:rPr>
          <w:rFonts w:ascii="Arial" w:eastAsia="宋体" w:hAnsi="Arial" w:cs="Arial"/>
          <w:color w:val="000000"/>
          <w:kern w:val="0"/>
          <w:sz w:val="24"/>
          <w:szCs w:val="24"/>
        </w:rPr>
        <w:t>[2013 ]516</w:t>
      </w:r>
      <w:r w:rsidRPr="00EE45A0">
        <w:rPr>
          <w:rFonts w:ascii="Arial" w:eastAsia="宋体" w:hAnsi="Arial" w:cs="Arial"/>
          <w:color w:val="000000"/>
          <w:kern w:val="0"/>
          <w:sz w:val="24"/>
          <w:szCs w:val="24"/>
        </w:rPr>
        <w:t>号）及政府采购相关制度规定，现就加强公务机票购买管理的有关事项通知如下：</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一、各级国家机关、事业单位和团体组织工作人员，以及使用财政性资金购买公务机票的其他人员（以下简称购票人），国内出差、因公临时出国购买机票，应当按照厉行节约和支持本国航空公司发展的原则，优先购买通过政府采购方式确定的我国航空公司（以下简称国内航空公司）航班优惠机票。</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二、国内航空公司按政府采购合同约定给予公务机票优惠。对于市场折扣机票，各航空公司按国内、国际机票各航班舱位的折扣票价给予</w:t>
      </w:r>
      <w:r w:rsidRPr="00EE45A0">
        <w:rPr>
          <w:rFonts w:ascii="Arial" w:eastAsia="宋体" w:hAnsi="Arial" w:cs="Arial"/>
          <w:color w:val="000000"/>
          <w:kern w:val="0"/>
          <w:sz w:val="24"/>
          <w:szCs w:val="24"/>
        </w:rPr>
        <w:t>9.5</w:t>
      </w:r>
      <w:r w:rsidRPr="00EE45A0">
        <w:rPr>
          <w:rFonts w:ascii="Arial" w:eastAsia="宋体" w:hAnsi="Arial" w:cs="Arial"/>
          <w:color w:val="000000"/>
          <w:kern w:val="0"/>
          <w:sz w:val="24"/>
          <w:szCs w:val="24"/>
        </w:rPr>
        <w:t>折优惠；对于市场全价机票，则分别给予全价票价的</w:t>
      </w:r>
      <w:r w:rsidRPr="00EE45A0">
        <w:rPr>
          <w:rFonts w:ascii="Arial" w:eastAsia="宋体" w:hAnsi="Arial" w:cs="Arial"/>
          <w:color w:val="000000"/>
          <w:kern w:val="0"/>
          <w:sz w:val="24"/>
          <w:szCs w:val="24"/>
        </w:rPr>
        <w:t>8.8</w:t>
      </w:r>
      <w:r w:rsidRPr="00EE45A0">
        <w:rPr>
          <w:rFonts w:ascii="Arial" w:eastAsia="宋体" w:hAnsi="Arial" w:cs="Arial"/>
          <w:color w:val="000000"/>
          <w:kern w:val="0"/>
          <w:sz w:val="24"/>
          <w:szCs w:val="24"/>
        </w:rPr>
        <w:t>折、</w:t>
      </w:r>
      <w:r w:rsidRPr="00EE45A0">
        <w:rPr>
          <w:rFonts w:ascii="Arial" w:eastAsia="宋体" w:hAnsi="Arial" w:cs="Arial"/>
          <w:color w:val="000000"/>
          <w:kern w:val="0"/>
          <w:sz w:val="24"/>
          <w:szCs w:val="24"/>
        </w:rPr>
        <w:t>8.5</w:t>
      </w:r>
      <w:r w:rsidRPr="00EE45A0">
        <w:rPr>
          <w:rFonts w:ascii="Arial" w:eastAsia="宋体" w:hAnsi="Arial" w:cs="Arial"/>
          <w:color w:val="000000"/>
          <w:kern w:val="0"/>
          <w:sz w:val="24"/>
          <w:szCs w:val="24"/>
        </w:rPr>
        <w:t>折优惠。政府采购机票优惠率的变动情况，将在政府采购机票管理网站（</w:t>
      </w:r>
      <w:r w:rsidRPr="00EE45A0">
        <w:rPr>
          <w:rFonts w:ascii="Arial" w:eastAsia="宋体" w:hAnsi="Arial" w:cs="Arial"/>
          <w:color w:val="000000"/>
          <w:kern w:val="0"/>
          <w:sz w:val="24"/>
          <w:szCs w:val="24"/>
        </w:rPr>
        <w:t>www.gpticket.org</w:t>
      </w:r>
      <w:r w:rsidRPr="00EE45A0">
        <w:rPr>
          <w:rFonts w:ascii="Arial" w:eastAsia="宋体" w:hAnsi="Arial" w:cs="Arial"/>
          <w:color w:val="000000"/>
          <w:kern w:val="0"/>
          <w:sz w:val="24"/>
          <w:szCs w:val="24"/>
        </w:rPr>
        <w:t>）上发布。</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三、因公临时出国时，购票人应当选择直达目的地国家（地区）的国内航空公司航班出入境，没有直达航班的，应当选择国内航空公司航班到达的最邻近目的地国家（地区）进行中转。因中转</w:t>
      </w:r>
      <w:r w:rsidRPr="00EE45A0">
        <w:rPr>
          <w:rFonts w:ascii="Arial" w:eastAsia="宋体" w:hAnsi="Arial" w:cs="Arial"/>
          <w:color w:val="000000"/>
          <w:kern w:val="0"/>
          <w:sz w:val="24"/>
          <w:szCs w:val="24"/>
        </w:rPr>
        <w:t>1</w:t>
      </w:r>
      <w:r w:rsidRPr="00EE45A0">
        <w:rPr>
          <w:rFonts w:ascii="Arial" w:eastAsia="宋体" w:hAnsi="Arial" w:cs="Arial"/>
          <w:color w:val="000000"/>
          <w:kern w:val="0"/>
          <w:sz w:val="24"/>
          <w:szCs w:val="24"/>
        </w:rPr>
        <w:t>次以上（不含</w:t>
      </w:r>
      <w:r w:rsidRPr="00EE45A0">
        <w:rPr>
          <w:rFonts w:ascii="Arial" w:eastAsia="宋体" w:hAnsi="Arial" w:cs="Arial"/>
          <w:color w:val="000000"/>
          <w:kern w:val="0"/>
          <w:sz w:val="24"/>
          <w:szCs w:val="24"/>
        </w:rPr>
        <w:t>1</w:t>
      </w:r>
      <w:r w:rsidRPr="00EE45A0">
        <w:rPr>
          <w:rFonts w:ascii="Arial" w:eastAsia="宋体" w:hAnsi="Arial" w:cs="Arial"/>
          <w:color w:val="000000"/>
          <w:kern w:val="0"/>
          <w:sz w:val="24"/>
          <w:szCs w:val="24"/>
        </w:rPr>
        <w:t>次）等特殊原因确需选择非国内航空公司航班，以及因最临近目的地国家（地区）中转需办理过境签证</w:t>
      </w:r>
      <w:r w:rsidRPr="00EE45A0">
        <w:rPr>
          <w:rFonts w:ascii="Arial" w:eastAsia="宋体" w:hAnsi="Arial" w:cs="Arial"/>
          <w:color w:val="000000"/>
          <w:kern w:val="0"/>
          <w:sz w:val="24"/>
          <w:szCs w:val="24"/>
        </w:rPr>
        <w:lastRenderedPageBreak/>
        <w:t>而选择其他邻近中转地的，应当填写《乘坐非国内航空公司航班和改变中转地审批表》（见附件），事先报经单位外事部门和财务部门审批同意。</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四、购票人应当做好公务出行计划安排，尽可能选择低价机票，原则上不得购买全价机票。对于各航空公司提供的低于政府采购优惠票价的团队价格或促销价格机票，购票人可选择购买，但不再享受政府采购优惠。购票人需要退改签机票的，按照各航空公司的退改签规定办理。</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五、购票人可直接使用公务卡在政府采购机票管理网站购买机票，也可通过具备中国民航机票销售资质的各航空公司直销机构或机票销售代理机构，使用公务卡或银行转账方式购买机票。使用公务卡购票的，应当提前在政府采购机票管理网站进行公务卡注册或通过电话方式注册。使用银行转账方式购票的，需要在支票、汇款等票据上标注资金用途为</w:t>
      </w:r>
      <w:r w:rsidRPr="00EE45A0">
        <w:rPr>
          <w:rFonts w:ascii="Arial" w:eastAsia="宋体" w:hAnsi="Arial" w:cs="Arial"/>
          <w:color w:val="000000"/>
          <w:kern w:val="0"/>
          <w:sz w:val="24"/>
          <w:szCs w:val="24"/>
        </w:rPr>
        <w:t>“</w:t>
      </w:r>
      <w:r w:rsidRPr="00EE45A0">
        <w:rPr>
          <w:rFonts w:ascii="Arial" w:eastAsia="宋体" w:hAnsi="Arial" w:cs="Arial"/>
          <w:color w:val="000000"/>
          <w:kern w:val="0"/>
          <w:sz w:val="24"/>
          <w:szCs w:val="24"/>
        </w:rPr>
        <w:t>公务机票购票款</w:t>
      </w:r>
      <w:r w:rsidRPr="00EE45A0">
        <w:rPr>
          <w:rFonts w:ascii="Arial" w:eastAsia="宋体" w:hAnsi="Arial" w:cs="Arial"/>
          <w:color w:val="000000"/>
          <w:kern w:val="0"/>
          <w:sz w:val="24"/>
          <w:szCs w:val="24"/>
        </w:rPr>
        <w:t>”</w:t>
      </w:r>
      <w:r w:rsidRPr="00EE45A0">
        <w:rPr>
          <w:rFonts w:ascii="Arial" w:eastAsia="宋体" w:hAnsi="Arial" w:cs="Arial"/>
          <w:color w:val="000000"/>
          <w:kern w:val="0"/>
          <w:sz w:val="24"/>
          <w:szCs w:val="24"/>
        </w:rPr>
        <w:t>，填写的单位名称应与系统记录的单位名称一致。</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六、各部门各单位要严格公务机票报销管理，购买国内航空公司航班机票的，应当以标注有政府采购机票查验号码的《航空运输电子客票行程单》作为报销凭证；购买非国内航空公司航班机票的，应当以相关有效票据作为报销凭证，并附经单位外事部门和财务部门出具审核意见的审批表。单位财务人员如需对购票单位、购票时间及购票价格等信息进行核实的，可登录政府采购机票管理网站按查验号码查询。</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七、各级外事、财政、审计等部门应当将出国机票购买情况纳入因公临时出国情况联合检查的范围。各部门各单位在审计部门对因公临时出国经费管理使用情况进行审计时，应当提供乘坐非国内航空公司航班审批表等机票购买活动的资料以及经费管理使用的资料。</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八、各级财政部门应当按预算级次整理本级预算单位名称全称、组织机构代码等信息，在本级预算单位实施公务机票购买管理改革前，按规定格式提供给中国民用航空局清算中心。中央预算单位信息由财政部提供，地方各级预算单位信息由省级财政部门审核汇总后提供。预算单位相关信息变更的，各级财政部门也按此要求办理。</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九、中国民用航空局清算中心具体承担公务机票购买的相关执行工作，统一与各航空公司、机票销售机构签订服务合同，协调处理各中央预算单位和地方财</w:t>
      </w:r>
      <w:r w:rsidRPr="00EE45A0">
        <w:rPr>
          <w:rFonts w:ascii="Arial" w:eastAsia="宋体" w:hAnsi="Arial" w:cs="Arial"/>
          <w:color w:val="000000"/>
          <w:kern w:val="0"/>
          <w:sz w:val="24"/>
          <w:szCs w:val="24"/>
        </w:rPr>
        <w:lastRenderedPageBreak/>
        <w:t>政部门书面反映的航空公司执行优惠率、机票销售机构履行服务承诺等方面的问题，定期向各级财政部门报送公务机票购买执行情况。</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十、中央预算单位从</w:t>
      </w:r>
      <w:r w:rsidRPr="00EE45A0">
        <w:rPr>
          <w:rFonts w:ascii="Arial" w:eastAsia="宋体" w:hAnsi="Arial" w:cs="Arial"/>
          <w:color w:val="000000"/>
          <w:kern w:val="0"/>
          <w:sz w:val="24"/>
          <w:szCs w:val="24"/>
        </w:rPr>
        <w:t>2014</w:t>
      </w:r>
      <w:r w:rsidRPr="00EE45A0">
        <w:rPr>
          <w:rFonts w:ascii="Arial" w:eastAsia="宋体" w:hAnsi="Arial" w:cs="Arial"/>
          <w:color w:val="000000"/>
          <w:kern w:val="0"/>
          <w:sz w:val="24"/>
          <w:szCs w:val="24"/>
        </w:rPr>
        <w:t>年</w:t>
      </w:r>
      <w:r w:rsidRPr="00EE45A0">
        <w:rPr>
          <w:rFonts w:ascii="Arial" w:eastAsia="宋体" w:hAnsi="Arial" w:cs="Arial"/>
          <w:color w:val="000000"/>
          <w:kern w:val="0"/>
          <w:sz w:val="24"/>
          <w:szCs w:val="24"/>
        </w:rPr>
        <w:t>6</w:t>
      </w:r>
      <w:r w:rsidRPr="00EE45A0">
        <w:rPr>
          <w:rFonts w:ascii="Arial" w:eastAsia="宋体" w:hAnsi="Arial" w:cs="Arial"/>
          <w:color w:val="000000"/>
          <w:kern w:val="0"/>
          <w:sz w:val="24"/>
          <w:szCs w:val="24"/>
        </w:rPr>
        <w:t>月</w:t>
      </w:r>
      <w:r w:rsidRPr="00EE45A0">
        <w:rPr>
          <w:rFonts w:ascii="Arial" w:eastAsia="宋体" w:hAnsi="Arial" w:cs="Arial"/>
          <w:color w:val="000000"/>
          <w:kern w:val="0"/>
          <w:sz w:val="24"/>
          <w:szCs w:val="24"/>
        </w:rPr>
        <w:t>1</w:t>
      </w:r>
      <w:r w:rsidRPr="00EE45A0">
        <w:rPr>
          <w:rFonts w:ascii="Arial" w:eastAsia="宋体" w:hAnsi="Arial" w:cs="Arial"/>
          <w:color w:val="000000"/>
          <w:kern w:val="0"/>
          <w:sz w:val="24"/>
          <w:szCs w:val="24"/>
        </w:rPr>
        <w:t>日起开始实施公务机票购买管理改革。各省级财政部门要统筹安排本地区改革工作，省级预算单位在</w:t>
      </w:r>
      <w:r w:rsidRPr="00EE45A0">
        <w:rPr>
          <w:rFonts w:ascii="Arial" w:eastAsia="宋体" w:hAnsi="Arial" w:cs="Arial"/>
          <w:color w:val="000000"/>
          <w:kern w:val="0"/>
          <w:sz w:val="24"/>
          <w:szCs w:val="24"/>
        </w:rPr>
        <w:t>2014</w:t>
      </w:r>
      <w:r w:rsidRPr="00EE45A0">
        <w:rPr>
          <w:rFonts w:ascii="Arial" w:eastAsia="宋体" w:hAnsi="Arial" w:cs="Arial"/>
          <w:color w:val="000000"/>
          <w:kern w:val="0"/>
          <w:sz w:val="24"/>
          <w:szCs w:val="24"/>
        </w:rPr>
        <w:t>年底前实施，地市级及以下级预算单位在</w:t>
      </w:r>
      <w:r w:rsidRPr="00EE45A0">
        <w:rPr>
          <w:rFonts w:ascii="Arial" w:eastAsia="宋体" w:hAnsi="Arial" w:cs="Arial"/>
          <w:color w:val="000000"/>
          <w:kern w:val="0"/>
          <w:sz w:val="24"/>
          <w:szCs w:val="24"/>
        </w:rPr>
        <w:t>2015</w:t>
      </w:r>
      <w:r w:rsidRPr="00EE45A0">
        <w:rPr>
          <w:rFonts w:ascii="Arial" w:eastAsia="宋体" w:hAnsi="Arial" w:cs="Arial"/>
          <w:color w:val="000000"/>
          <w:kern w:val="0"/>
          <w:sz w:val="24"/>
          <w:szCs w:val="24"/>
        </w:rPr>
        <w:t>年底前全部实施。</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十一、各航空公司航班市场票价和政府采购优惠票价，预算单位基础信息表，公务卡注册流程，公务机票购买操作手册，以及国内航空公司和机票销售机构名录等内容，见政府采购机票管理网站。</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十二、各地区各部门各单位可根据本通知规定，结合实际制定相应的实施细则。</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十三、各中央部门和省级财政部门在实施工作中，有关政策制定、执行中的意见和建议，请与财政部国库司联系，联系电话：</w:t>
      </w:r>
      <w:r w:rsidRPr="00EE45A0">
        <w:rPr>
          <w:rFonts w:ascii="Arial" w:eastAsia="宋体" w:hAnsi="Arial" w:cs="Arial"/>
          <w:color w:val="000000"/>
          <w:kern w:val="0"/>
          <w:sz w:val="24"/>
          <w:szCs w:val="24"/>
        </w:rPr>
        <w:t>010-68552389</w:t>
      </w:r>
      <w:r w:rsidRPr="00EE45A0">
        <w:rPr>
          <w:rFonts w:ascii="Arial" w:eastAsia="宋体" w:hAnsi="Arial" w:cs="Arial"/>
          <w:color w:val="000000"/>
          <w:kern w:val="0"/>
          <w:sz w:val="24"/>
          <w:szCs w:val="24"/>
        </w:rPr>
        <w:t>。有关预算单位信息提供、购票中出现问题的处理等操作执行方面的问题，请与中国民用航空局清算中心联系，联系电话：</w:t>
      </w:r>
      <w:r w:rsidRPr="00EE45A0">
        <w:rPr>
          <w:rFonts w:ascii="Arial" w:eastAsia="宋体" w:hAnsi="Arial" w:cs="Arial"/>
          <w:color w:val="000000"/>
          <w:kern w:val="0"/>
          <w:sz w:val="24"/>
          <w:szCs w:val="24"/>
        </w:rPr>
        <w:t>010-84669065</w:t>
      </w:r>
      <w:r w:rsidRPr="00EE45A0">
        <w:rPr>
          <w:rFonts w:ascii="Arial" w:eastAsia="宋体" w:hAnsi="Arial" w:cs="Arial"/>
          <w:color w:val="000000"/>
          <w:kern w:val="0"/>
          <w:sz w:val="24"/>
          <w:szCs w:val="24"/>
        </w:rPr>
        <w:t>。</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xml:space="preserve">　　附件：乘坐非国内航空公司航班和改变中转地审批表</w:t>
      </w:r>
    </w:p>
    <w:p w:rsidR="00EE45A0" w:rsidRPr="00EE45A0" w:rsidRDefault="00EE45A0" w:rsidP="00EE45A0">
      <w:pPr>
        <w:widowControl/>
        <w:shd w:val="clear" w:color="auto" w:fill="FDFAF5"/>
        <w:spacing w:line="480" w:lineRule="atLeast"/>
        <w:jc w:val="left"/>
        <w:rPr>
          <w:rFonts w:ascii="Arial" w:eastAsia="宋体" w:hAnsi="Arial" w:cs="Arial"/>
          <w:color w:val="000000"/>
          <w:kern w:val="0"/>
          <w:sz w:val="24"/>
          <w:szCs w:val="24"/>
        </w:rPr>
      </w:pPr>
      <w:r w:rsidRPr="00EE45A0">
        <w:rPr>
          <w:rFonts w:ascii="Arial" w:eastAsia="宋体" w:hAnsi="Arial" w:cs="Arial"/>
          <w:color w:val="000000"/>
          <w:kern w:val="0"/>
          <w:sz w:val="24"/>
          <w:szCs w:val="24"/>
        </w:rPr>
        <w:t> </w:t>
      </w:r>
    </w:p>
    <w:p w:rsidR="00EE45A0" w:rsidRPr="00EE45A0" w:rsidRDefault="00EE45A0" w:rsidP="00EE45A0">
      <w:pPr>
        <w:widowControl/>
        <w:shd w:val="clear" w:color="auto" w:fill="FDFAF5"/>
        <w:wordWrap w:val="0"/>
        <w:spacing w:line="480" w:lineRule="atLeast"/>
        <w:jc w:val="right"/>
        <w:rPr>
          <w:rFonts w:ascii="Arial" w:eastAsia="宋体" w:hAnsi="Arial" w:cs="Arial"/>
          <w:color w:val="000000"/>
          <w:kern w:val="0"/>
          <w:sz w:val="24"/>
          <w:szCs w:val="24"/>
        </w:rPr>
      </w:pPr>
      <w:r w:rsidRPr="00EE45A0">
        <w:rPr>
          <w:rFonts w:ascii="Arial" w:eastAsia="宋体" w:hAnsi="Arial" w:cs="Arial"/>
          <w:color w:val="000000"/>
          <w:kern w:val="0"/>
          <w:sz w:val="24"/>
          <w:szCs w:val="24"/>
        </w:rPr>
        <w:t>2014</w:t>
      </w:r>
      <w:r w:rsidRPr="00EE45A0">
        <w:rPr>
          <w:rFonts w:ascii="Arial" w:eastAsia="宋体" w:hAnsi="Arial" w:cs="Arial"/>
          <w:color w:val="000000"/>
          <w:kern w:val="0"/>
          <w:sz w:val="24"/>
          <w:szCs w:val="24"/>
        </w:rPr>
        <w:t>年</w:t>
      </w:r>
      <w:r w:rsidRPr="00EE45A0">
        <w:rPr>
          <w:rFonts w:ascii="Arial" w:eastAsia="宋体" w:hAnsi="Arial" w:cs="Arial"/>
          <w:color w:val="000000"/>
          <w:kern w:val="0"/>
          <w:sz w:val="24"/>
          <w:szCs w:val="24"/>
        </w:rPr>
        <w:t>4</w:t>
      </w:r>
      <w:r w:rsidRPr="00EE45A0">
        <w:rPr>
          <w:rFonts w:ascii="Arial" w:eastAsia="宋体" w:hAnsi="Arial" w:cs="Arial"/>
          <w:color w:val="000000"/>
          <w:kern w:val="0"/>
          <w:sz w:val="24"/>
          <w:szCs w:val="24"/>
        </w:rPr>
        <w:t>月</w:t>
      </w:r>
      <w:r w:rsidRPr="00EE45A0">
        <w:rPr>
          <w:rFonts w:ascii="Arial" w:eastAsia="宋体" w:hAnsi="Arial" w:cs="Arial"/>
          <w:color w:val="000000"/>
          <w:kern w:val="0"/>
          <w:sz w:val="24"/>
          <w:szCs w:val="24"/>
        </w:rPr>
        <w:t>14</w:t>
      </w:r>
      <w:r w:rsidRPr="00EE45A0">
        <w:rPr>
          <w:rFonts w:ascii="Arial" w:eastAsia="宋体" w:hAnsi="Arial" w:cs="Arial"/>
          <w:color w:val="000000"/>
          <w:kern w:val="0"/>
          <w:sz w:val="24"/>
          <w:szCs w:val="24"/>
        </w:rPr>
        <w:t>日</w:t>
      </w:r>
      <w:r w:rsidRPr="00EE45A0">
        <w:rPr>
          <w:rFonts w:ascii="Arial" w:eastAsia="宋体" w:hAnsi="Arial" w:cs="Arial"/>
          <w:color w:val="000000"/>
          <w:kern w:val="0"/>
          <w:sz w:val="24"/>
          <w:szCs w:val="24"/>
        </w:rPr>
        <w:t>    </w:t>
      </w:r>
    </w:p>
    <w:tbl>
      <w:tblPr>
        <w:tblW w:w="8374" w:type="dxa"/>
        <w:tblInd w:w="98" w:type="dxa"/>
        <w:tblCellMar>
          <w:left w:w="0" w:type="dxa"/>
          <w:right w:w="0" w:type="dxa"/>
        </w:tblCellMar>
        <w:tblLook w:val="04A0"/>
      </w:tblPr>
      <w:tblGrid>
        <w:gridCol w:w="1666"/>
        <w:gridCol w:w="664"/>
        <w:gridCol w:w="2616"/>
        <w:gridCol w:w="1780"/>
        <w:gridCol w:w="880"/>
        <w:gridCol w:w="818"/>
      </w:tblGrid>
      <w:tr w:rsidR="00EE45A0" w:rsidRPr="00EE45A0" w:rsidTr="00EE45A0">
        <w:trPr>
          <w:gridAfter w:val="5"/>
          <w:wAfter w:w="13308" w:type="dxa"/>
          <w:trHeight w:val="375"/>
        </w:trPr>
        <w:tc>
          <w:tcPr>
            <w:tcW w:w="1520" w:type="dxa"/>
            <w:tcBorders>
              <w:top w:val="nil"/>
              <w:left w:val="nil"/>
              <w:bottom w:val="nil"/>
              <w:right w:val="nil"/>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附件</w:t>
            </w:r>
            <w:r w:rsidRPr="00EE45A0">
              <w:rPr>
                <w:rFonts w:ascii="inherit" w:eastAsia="宋体" w:hAnsi="inherit" w:cs="宋体"/>
                <w:kern w:val="0"/>
                <w:sz w:val="18"/>
                <w:szCs w:val="18"/>
              </w:rPr>
              <w:t>:</w:t>
            </w:r>
          </w:p>
        </w:tc>
      </w:tr>
      <w:tr w:rsidR="00EE45A0" w:rsidRPr="00EE45A0" w:rsidTr="00EE45A0">
        <w:trPr>
          <w:trHeight w:val="765"/>
        </w:trPr>
        <w:tc>
          <w:tcPr>
            <w:tcW w:w="8374" w:type="dxa"/>
            <w:gridSpan w:val="6"/>
            <w:tcBorders>
              <w:top w:val="nil"/>
              <w:left w:val="nil"/>
              <w:bottom w:val="nil"/>
              <w:right w:val="nil"/>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center"/>
              <w:rPr>
                <w:rFonts w:ascii="inherit" w:eastAsia="宋体" w:hAnsi="inherit" w:cs="宋体"/>
                <w:kern w:val="0"/>
                <w:sz w:val="18"/>
                <w:szCs w:val="18"/>
              </w:rPr>
            </w:pPr>
            <w:r w:rsidRPr="00EE45A0">
              <w:rPr>
                <w:rFonts w:ascii="inherit" w:eastAsia="宋体" w:hAnsi="inherit" w:cs="宋体"/>
                <w:b/>
                <w:bCs/>
                <w:kern w:val="0"/>
                <w:sz w:val="18"/>
                <w:szCs w:val="18"/>
              </w:rPr>
              <w:t>乘坐非国内航空公司航班和改变中转地审批表</w:t>
            </w:r>
          </w:p>
        </w:tc>
      </w:tr>
      <w:tr w:rsidR="00EE45A0" w:rsidRPr="00EE45A0" w:rsidTr="00EE45A0">
        <w:trPr>
          <w:trHeight w:val="540"/>
        </w:trPr>
        <w:tc>
          <w:tcPr>
            <w:tcW w:w="1520" w:type="dxa"/>
            <w:tcBorders>
              <w:top w:val="nil"/>
              <w:left w:val="nil"/>
              <w:bottom w:val="nil"/>
              <w:right w:val="nil"/>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编号：</w:t>
            </w:r>
          </w:p>
        </w:tc>
        <w:tc>
          <w:tcPr>
            <w:tcW w:w="3774" w:type="dxa"/>
            <w:gridSpan w:val="3"/>
            <w:tcBorders>
              <w:top w:val="nil"/>
              <w:left w:val="nil"/>
              <w:bottom w:val="single" w:sz="8" w:space="0" w:color="auto"/>
              <w:right w:val="nil"/>
            </w:tcBorders>
            <w:shd w:val="clear" w:color="auto" w:fill="auto"/>
            <w:tcMar>
              <w:top w:w="0" w:type="dxa"/>
              <w:left w:w="108" w:type="dxa"/>
              <w:bottom w:w="0" w:type="dxa"/>
              <w:right w:w="108" w:type="dxa"/>
            </w:tcMar>
            <w:vAlign w:val="center"/>
            <w:hideMark/>
          </w:tcPr>
          <w:p w:rsidR="00EE45A0" w:rsidRPr="00EE45A0" w:rsidRDefault="00EE45A0" w:rsidP="00EE45A0">
            <w:pPr>
              <w:widowControl/>
              <w:jc w:val="center"/>
              <w:rPr>
                <w:rFonts w:ascii="inherit" w:eastAsia="宋体" w:hAnsi="inherit" w:cs="宋体"/>
                <w:kern w:val="0"/>
                <w:sz w:val="18"/>
                <w:szCs w:val="18"/>
              </w:rPr>
            </w:pPr>
            <w:r w:rsidRPr="00EE45A0">
              <w:rPr>
                <w:rFonts w:ascii="inherit" w:eastAsia="宋体" w:hAnsi="inherit" w:cs="宋体"/>
                <w:kern w:val="0"/>
                <w:sz w:val="18"/>
                <w:szCs w:val="18"/>
              </w:rPr>
              <w:t>      </w:t>
            </w:r>
            <w:r w:rsidRPr="00EE45A0">
              <w:rPr>
                <w:rFonts w:ascii="inherit" w:eastAsia="宋体" w:hAnsi="inherit" w:cs="宋体"/>
                <w:kern w:val="0"/>
                <w:sz w:val="18"/>
                <w:szCs w:val="18"/>
              </w:rPr>
              <w:t>填表日期：</w:t>
            </w:r>
            <w:r w:rsidRPr="00EE45A0">
              <w:rPr>
                <w:rFonts w:ascii="inherit" w:eastAsia="宋体" w:hAnsi="inherit" w:cs="宋体"/>
                <w:kern w:val="0"/>
                <w:sz w:val="18"/>
                <w:szCs w:val="18"/>
              </w:rPr>
              <w:t>    </w:t>
            </w:r>
            <w:r w:rsidRPr="00EE45A0">
              <w:rPr>
                <w:rFonts w:ascii="inherit" w:eastAsia="宋体" w:hAnsi="inherit" w:cs="宋体"/>
                <w:kern w:val="0"/>
                <w:sz w:val="18"/>
                <w:szCs w:val="18"/>
              </w:rPr>
              <w:t>年</w:t>
            </w:r>
            <w:r w:rsidRPr="00EE45A0">
              <w:rPr>
                <w:rFonts w:ascii="inherit" w:eastAsia="宋体" w:hAnsi="inherit" w:cs="宋体"/>
                <w:kern w:val="0"/>
                <w:sz w:val="18"/>
                <w:szCs w:val="18"/>
              </w:rPr>
              <w:t>   </w:t>
            </w:r>
            <w:r w:rsidRPr="00EE45A0">
              <w:rPr>
                <w:rFonts w:ascii="inherit" w:eastAsia="宋体" w:hAnsi="inherit" w:cs="宋体"/>
                <w:kern w:val="0"/>
                <w:sz w:val="18"/>
                <w:szCs w:val="18"/>
              </w:rPr>
              <w:t>月</w:t>
            </w:r>
            <w:r w:rsidRPr="00EE45A0">
              <w:rPr>
                <w:rFonts w:ascii="inherit" w:eastAsia="宋体" w:hAnsi="inherit" w:cs="宋体"/>
                <w:kern w:val="0"/>
                <w:sz w:val="18"/>
                <w:szCs w:val="18"/>
              </w:rPr>
              <w:t>   </w:t>
            </w:r>
            <w:r w:rsidRPr="00EE45A0">
              <w:rPr>
                <w:rFonts w:ascii="inherit" w:eastAsia="宋体" w:hAnsi="inherit" w:cs="宋体"/>
                <w:kern w:val="0"/>
                <w:sz w:val="18"/>
                <w:szCs w:val="18"/>
              </w:rPr>
              <w:t>日</w:t>
            </w:r>
          </w:p>
        </w:tc>
        <w:tc>
          <w:tcPr>
            <w:tcW w:w="0" w:type="auto"/>
            <w:vAlign w:val="center"/>
            <w:hideMark/>
          </w:tcPr>
          <w:p w:rsidR="00EE45A0" w:rsidRPr="00EE45A0" w:rsidRDefault="00EE45A0" w:rsidP="00EE45A0">
            <w:pPr>
              <w:widowControl/>
              <w:jc w:val="left"/>
              <w:rPr>
                <w:rFonts w:ascii="Times New Roman" w:eastAsia="Times New Roman" w:hAnsi="Times New Roman" w:cs="Times New Roman"/>
                <w:kern w:val="0"/>
                <w:sz w:val="20"/>
                <w:szCs w:val="20"/>
              </w:rPr>
            </w:pPr>
          </w:p>
        </w:tc>
        <w:tc>
          <w:tcPr>
            <w:tcW w:w="0" w:type="auto"/>
            <w:vAlign w:val="center"/>
            <w:hideMark/>
          </w:tcPr>
          <w:p w:rsidR="00EE45A0" w:rsidRPr="00EE45A0" w:rsidRDefault="00EE45A0" w:rsidP="00EE45A0">
            <w:pPr>
              <w:widowControl/>
              <w:jc w:val="left"/>
              <w:rPr>
                <w:rFonts w:ascii="Times New Roman" w:eastAsia="Times New Roman" w:hAnsi="Times New Roman" w:cs="Times New Roman"/>
                <w:kern w:val="0"/>
                <w:sz w:val="20"/>
                <w:szCs w:val="20"/>
              </w:rPr>
            </w:pPr>
          </w:p>
        </w:tc>
      </w:tr>
      <w:tr w:rsidR="00EE45A0" w:rsidRPr="00EE45A0" w:rsidTr="00EE45A0">
        <w:trPr>
          <w:trHeight w:val="560"/>
        </w:trPr>
        <w:tc>
          <w:tcPr>
            <w:tcW w:w="15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团组名称</w:t>
            </w:r>
          </w:p>
        </w:tc>
        <w:tc>
          <w:tcPr>
            <w:tcW w:w="6854" w:type="dxa"/>
            <w:gridSpan w:val="5"/>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560"/>
        </w:trPr>
        <w:tc>
          <w:tcPr>
            <w:tcW w:w="15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组团单位</w:t>
            </w:r>
          </w:p>
        </w:tc>
        <w:tc>
          <w:tcPr>
            <w:tcW w:w="308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团员人数</w:t>
            </w:r>
          </w:p>
        </w:tc>
        <w:tc>
          <w:tcPr>
            <w:tcW w:w="2294"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560"/>
        </w:trPr>
        <w:tc>
          <w:tcPr>
            <w:tcW w:w="2400"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出访国家（地区）</w:t>
            </w:r>
          </w:p>
        </w:tc>
        <w:tc>
          <w:tcPr>
            <w:tcW w:w="22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出访时间</w:t>
            </w:r>
          </w:p>
        </w:tc>
        <w:tc>
          <w:tcPr>
            <w:tcW w:w="2294"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794"/>
        </w:trPr>
        <w:tc>
          <w:tcPr>
            <w:tcW w:w="15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乘坐航班</w:t>
            </w:r>
          </w:p>
        </w:tc>
        <w:tc>
          <w:tcPr>
            <w:tcW w:w="6854" w:type="dxa"/>
            <w:gridSpan w:val="5"/>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2252"/>
        </w:trPr>
        <w:tc>
          <w:tcPr>
            <w:tcW w:w="15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lastRenderedPageBreak/>
              <w:t>选择非国内航空公司航班原因，或者改变最邻近目的地国家（地区）中转地原因</w:t>
            </w:r>
          </w:p>
        </w:tc>
        <w:tc>
          <w:tcPr>
            <w:tcW w:w="6854" w:type="dxa"/>
            <w:gridSpan w:val="5"/>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560"/>
        </w:trPr>
        <w:tc>
          <w:tcPr>
            <w:tcW w:w="8374" w:type="dxa"/>
            <w:gridSpan w:val="6"/>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center"/>
              <w:rPr>
                <w:rFonts w:ascii="inherit" w:eastAsia="宋体" w:hAnsi="inherit" w:cs="宋体"/>
                <w:kern w:val="0"/>
                <w:sz w:val="18"/>
                <w:szCs w:val="18"/>
              </w:rPr>
            </w:pPr>
            <w:r w:rsidRPr="00EE45A0">
              <w:rPr>
                <w:rFonts w:ascii="inherit" w:eastAsia="宋体" w:hAnsi="inherit" w:cs="宋体"/>
                <w:b/>
                <w:bCs/>
                <w:kern w:val="0"/>
                <w:sz w:val="18"/>
                <w:szCs w:val="18"/>
              </w:rPr>
              <w:t>外事部门审核意见</w:t>
            </w:r>
          </w:p>
        </w:tc>
      </w:tr>
      <w:tr w:rsidR="00EE45A0" w:rsidRPr="00EE45A0" w:rsidTr="00EE45A0">
        <w:trPr>
          <w:trHeight w:val="560"/>
        </w:trPr>
        <w:tc>
          <w:tcPr>
            <w:tcW w:w="15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审核单位</w:t>
            </w:r>
          </w:p>
        </w:tc>
        <w:tc>
          <w:tcPr>
            <w:tcW w:w="308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审核日期</w:t>
            </w:r>
          </w:p>
        </w:tc>
        <w:tc>
          <w:tcPr>
            <w:tcW w:w="2294"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841"/>
        </w:trPr>
        <w:tc>
          <w:tcPr>
            <w:tcW w:w="15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审核意见</w:t>
            </w:r>
          </w:p>
        </w:tc>
        <w:tc>
          <w:tcPr>
            <w:tcW w:w="6854" w:type="dxa"/>
            <w:gridSpan w:val="5"/>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560"/>
        </w:trPr>
        <w:tc>
          <w:tcPr>
            <w:tcW w:w="8374" w:type="dxa"/>
            <w:gridSpan w:val="6"/>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center"/>
              <w:rPr>
                <w:rFonts w:ascii="inherit" w:eastAsia="宋体" w:hAnsi="inherit" w:cs="宋体"/>
                <w:kern w:val="0"/>
                <w:sz w:val="18"/>
                <w:szCs w:val="18"/>
              </w:rPr>
            </w:pPr>
            <w:r w:rsidRPr="00EE45A0">
              <w:rPr>
                <w:rFonts w:ascii="inherit" w:eastAsia="宋体" w:hAnsi="inherit" w:cs="宋体"/>
                <w:b/>
                <w:bCs/>
                <w:kern w:val="0"/>
                <w:sz w:val="18"/>
                <w:szCs w:val="18"/>
              </w:rPr>
              <w:t>财务部门审核意见</w:t>
            </w:r>
          </w:p>
        </w:tc>
      </w:tr>
      <w:tr w:rsidR="00EE45A0" w:rsidRPr="00EE45A0" w:rsidTr="00EE45A0">
        <w:trPr>
          <w:trHeight w:val="495"/>
        </w:trPr>
        <w:tc>
          <w:tcPr>
            <w:tcW w:w="15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审核单位</w:t>
            </w:r>
          </w:p>
        </w:tc>
        <w:tc>
          <w:tcPr>
            <w:tcW w:w="308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c>
          <w:tcPr>
            <w:tcW w:w="14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审核日期</w:t>
            </w:r>
          </w:p>
        </w:tc>
        <w:tc>
          <w:tcPr>
            <w:tcW w:w="2294"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r w:rsidR="00EE45A0" w:rsidRPr="00EE45A0" w:rsidTr="00EE45A0">
        <w:trPr>
          <w:trHeight w:val="489"/>
        </w:trPr>
        <w:tc>
          <w:tcPr>
            <w:tcW w:w="152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审核意见</w:t>
            </w:r>
          </w:p>
        </w:tc>
        <w:tc>
          <w:tcPr>
            <w:tcW w:w="6854" w:type="dxa"/>
            <w:gridSpan w:val="5"/>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E45A0" w:rsidRPr="00EE45A0" w:rsidRDefault="00EE45A0" w:rsidP="00EE45A0">
            <w:pPr>
              <w:widowControl/>
              <w:jc w:val="left"/>
              <w:rPr>
                <w:rFonts w:ascii="inherit" w:eastAsia="宋体" w:hAnsi="inherit" w:cs="宋体"/>
                <w:kern w:val="0"/>
                <w:sz w:val="18"/>
                <w:szCs w:val="18"/>
              </w:rPr>
            </w:pPr>
            <w:r w:rsidRPr="00EE45A0">
              <w:rPr>
                <w:rFonts w:ascii="inherit" w:eastAsia="宋体" w:hAnsi="inherit" w:cs="宋体"/>
                <w:kern w:val="0"/>
                <w:sz w:val="18"/>
                <w:szCs w:val="18"/>
              </w:rPr>
              <w:t xml:space="preserve">　</w:t>
            </w:r>
          </w:p>
        </w:tc>
      </w:tr>
    </w:tbl>
    <w:p w:rsidR="00663216" w:rsidRDefault="00663216"/>
    <w:sectPr w:rsidR="006632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16" w:rsidRDefault="00663216" w:rsidP="00EE45A0">
      <w:r>
        <w:separator/>
      </w:r>
    </w:p>
  </w:endnote>
  <w:endnote w:type="continuationSeparator" w:id="1">
    <w:p w:rsidR="00663216" w:rsidRDefault="00663216" w:rsidP="00EE4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16" w:rsidRDefault="00663216" w:rsidP="00EE45A0">
      <w:r>
        <w:separator/>
      </w:r>
    </w:p>
  </w:footnote>
  <w:footnote w:type="continuationSeparator" w:id="1">
    <w:p w:rsidR="00663216" w:rsidRDefault="00663216" w:rsidP="00EE4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5A0"/>
    <w:rsid w:val="00663216"/>
    <w:rsid w:val="00EE4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4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45A0"/>
    <w:rPr>
      <w:sz w:val="18"/>
      <w:szCs w:val="18"/>
    </w:rPr>
  </w:style>
  <w:style w:type="paragraph" w:styleId="a4">
    <w:name w:val="footer"/>
    <w:basedOn w:val="a"/>
    <w:link w:val="Char0"/>
    <w:uiPriority w:val="99"/>
    <w:semiHidden/>
    <w:unhideWhenUsed/>
    <w:rsid w:val="00EE45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45A0"/>
    <w:rPr>
      <w:sz w:val="18"/>
      <w:szCs w:val="18"/>
    </w:rPr>
  </w:style>
  <w:style w:type="paragraph" w:styleId="a5">
    <w:name w:val="Normal (Web)"/>
    <w:basedOn w:val="a"/>
    <w:uiPriority w:val="99"/>
    <w:semiHidden/>
    <w:unhideWhenUsed/>
    <w:rsid w:val="00EE45A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E45A0"/>
  </w:style>
</w:styles>
</file>

<file path=word/webSettings.xml><?xml version="1.0" encoding="utf-8"?>
<w:webSettings xmlns:r="http://schemas.openxmlformats.org/officeDocument/2006/relationships" xmlns:w="http://schemas.openxmlformats.org/wordprocessingml/2006/main">
  <w:divs>
    <w:div w:id="1687050728">
      <w:bodyDiv w:val="1"/>
      <w:marLeft w:val="0"/>
      <w:marRight w:val="0"/>
      <w:marTop w:val="0"/>
      <w:marBottom w:val="0"/>
      <w:divBdr>
        <w:top w:val="none" w:sz="0" w:space="0" w:color="auto"/>
        <w:left w:val="none" w:sz="0" w:space="0" w:color="auto"/>
        <w:bottom w:val="none" w:sz="0" w:space="0" w:color="auto"/>
        <w:right w:val="none" w:sz="0" w:space="0" w:color="auto"/>
      </w:divBdr>
      <w:divsChild>
        <w:div w:id="2092963031">
          <w:marLeft w:val="0"/>
          <w:marRight w:val="0"/>
          <w:marTop w:val="0"/>
          <w:marBottom w:val="0"/>
          <w:divBdr>
            <w:top w:val="none" w:sz="0" w:space="0" w:color="auto"/>
            <w:left w:val="none" w:sz="0" w:space="0" w:color="auto"/>
            <w:bottom w:val="none" w:sz="0" w:space="0" w:color="auto"/>
            <w:right w:val="none" w:sz="0" w:space="0" w:color="auto"/>
          </w:divBdr>
        </w:div>
        <w:div w:id="125703645">
          <w:marLeft w:val="0"/>
          <w:marRight w:val="0"/>
          <w:marTop w:val="0"/>
          <w:marBottom w:val="0"/>
          <w:divBdr>
            <w:top w:val="none" w:sz="0" w:space="0" w:color="auto"/>
            <w:left w:val="none" w:sz="0" w:space="0" w:color="auto"/>
            <w:bottom w:val="none" w:sz="0" w:space="0" w:color="auto"/>
            <w:right w:val="none" w:sz="0" w:space="0" w:color="auto"/>
          </w:divBdr>
        </w:div>
        <w:div w:id="1015158314">
          <w:marLeft w:val="0"/>
          <w:marRight w:val="0"/>
          <w:marTop w:val="0"/>
          <w:marBottom w:val="0"/>
          <w:divBdr>
            <w:top w:val="none" w:sz="0" w:space="0" w:color="auto"/>
            <w:left w:val="none" w:sz="0" w:space="0" w:color="auto"/>
            <w:bottom w:val="none" w:sz="0" w:space="0" w:color="auto"/>
            <w:right w:val="none" w:sz="0" w:space="0" w:color="auto"/>
          </w:divBdr>
        </w:div>
        <w:div w:id="1508249672">
          <w:marLeft w:val="0"/>
          <w:marRight w:val="0"/>
          <w:marTop w:val="0"/>
          <w:marBottom w:val="0"/>
          <w:divBdr>
            <w:top w:val="none" w:sz="0" w:space="0" w:color="auto"/>
            <w:left w:val="none" w:sz="0" w:space="0" w:color="auto"/>
            <w:bottom w:val="none" w:sz="0" w:space="0" w:color="auto"/>
            <w:right w:val="none" w:sz="0" w:space="0" w:color="auto"/>
          </w:divBdr>
        </w:div>
        <w:div w:id="931472580">
          <w:marLeft w:val="0"/>
          <w:marRight w:val="0"/>
          <w:marTop w:val="0"/>
          <w:marBottom w:val="0"/>
          <w:divBdr>
            <w:top w:val="none" w:sz="0" w:space="0" w:color="auto"/>
            <w:left w:val="none" w:sz="0" w:space="0" w:color="auto"/>
            <w:bottom w:val="none" w:sz="0" w:space="0" w:color="auto"/>
            <w:right w:val="none" w:sz="0" w:space="0" w:color="auto"/>
          </w:divBdr>
        </w:div>
        <w:div w:id="2139451219">
          <w:marLeft w:val="0"/>
          <w:marRight w:val="0"/>
          <w:marTop w:val="0"/>
          <w:marBottom w:val="0"/>
          <w:divBdr>
            <w:top w:val="none" w:sz="0" w:space="0" w:color="auto"/>
            <w:left w:val="none" w:sz="0" w:space="0" w:color="auto"/>
            <w:bottom w:val="none" w:sz="0" w:space="0" w:color="auto"/>
            <w:right w:val="none" w:sz="0" w:space="0" w:color="auto"/>
          </w:divBdr>
        </w:div>
        <w:div w:id="1615668723">
          <w:marLeft w:val="0"/>
          <w:marRight w:val="0"/>
          <w:marTop w:val="0"/>
          <w:marBottom w:val="0"/>
          <w:divBdr>
            <w:top w:val="none" w:sz="0" w:space="0" w:color="auto"/>
            <w:left w:val="none" w:sz="0" w:space="0" w:color="auto"/>
            <w:bottom w:val="none" w:sz="0" w:space="0" w:color="auto"/>
            <w:right w:val="none" w:sz="0" w:space="0" w:color="auto"/>
          </w:divBdr>
        </w:div>
        <w:div w:id="1838617076">
          <w:marLeft w:val="0"/>
          <w:marRight w:val="0"/>
          <w:marTop w:val="0"/>
          <w:marBottom w:val="0"/>
          <w:divBdr>
            <w:top w:val="none" w:sz="0" w:space="0" w:color="auto"/>
            <w:left w:val="none" w:sz="0" w:space="0" w:color="auto"/>
            <w:bottom w:val="none" w:sz="0" w:space="0" w:color="auto"/>
            <w:right w:val="none" w:sz="0" w:space="0" w:color="auto"/>
          </w:divBdr>
        </w:div>
        <w:div w:id="1193766908">
          <w:marLeft w:val="0"/>
          <w:marRight w:val="0"/>
          <w:marTop w:val="0"/>
          <w:marBottom w:val="0"/>
          <w:divBdr>
            <w:top w:val="none" w:sz="0" w:space="0" w:color="auto"/>
            <w:left w:val="none" w:sz="0" w:space="0" w:color="auto"/>
            <w:bottom w:val="none" w:sz="0" w:space="0" w:color="auto"/>
            <w:right w:val="none" w:sz="0" w:space="0" w:color="auto"/>
          </w:divBdr>
        </w:div>
        <w:div w:id="1052728294">
          <w:marLeft w:val="0"/>
          <w:marRight w:val="0"/>
          <w:marTop w:val="0"/>
          <w:marBottom w:val="0"/>
          <w:divBdr>
            <w:top w:val="none" w:sz="0" w:space="0" w:color="auto"/>
            <w:left w:val="none" w:sz="0" w:space="0" w:color="auto"/>
            <w:bottom w:val="none" w:sz="0" w:space="0" w:color="auto"/>
            <w:right w:val="none" w:sz="0" w:space="0" w:color="auto"/>
          </w:divBdr>
        </w:div>
        <w:div w:id="999699060">
          <w:marLeft w:val="0"/>
          <w:marRight w:val="0"/>
          <w:marTop w:val="0"/>
          <w:marBottom w:val="0"/>
          <w:divBdr>
            <w:top w:val="none" w:sz="0" w:space="0" w:color="auto"/>
            <w:left w:val="none" w:sz="0" w:space="0" w:color="auto"/>
            <w:bottom w:val="none" w:sz="0" w:space="0" w:color="auto"/>
            <w:right w:val="none" w:sz="0" w:space="0" w:color="auto"/>
          </w:divBdr>
        </w:div>
        <w:div w:id="707341410">
          <w:marLeft w:val="0"/>
          <w:marRight w:val="0"/>
          <w:marTop w:val="0"/>
          <w:marBottom w:val="0"/>
          <w:divBdr>
            <w:top w:val="none" w:sz="0" w:space="0" w:color="auto"/>
            <w:left w:val="none" w:sz="0" w:space="0" w:color="auto"/>
            <w:bottom w:val="none" w:sz="0" w:space="0" w:color="auto"/>
            <w:right w:val="none" w:sz="0" w:space="0" w:color="auto"/>
          </w:divBdr>
        </w:div>
        <w:div w:id="1070882349">
          <w:marLeft w:val="0"/>
          <w:marRight w:val="0"/>
          <w:marTop w:val="0"/>
          <w:marBottom w:val="0"/>
          <w:divBdr>
            <w:top w:val="none" w:sz="0" w:space="0" w:color="auto"/>
            <w:left w:val="none" w:sz="0" w:space="0" w:color="auto"/>
            <w:bottom w:val="none" w:sz="0" w:space="0" w:color="auto"/>
            <w:right w:val="none" w:sz="0" w:space="0" w:color="auto"/>
          </w:divBdr>
        </w:div>
        <w:div w:id="203562515">
          <w:marLeft w:val="0"/>
          <w:marRight w:val="0"/>
          <w:marTop w:val="0"/>
          <w:marBottom w:val="0"/>
          <w:divBdr>
            <w:top w:val="none" w:sz="0" w:space="0" w:color="auto"/>
            <w:left w:val="none" w:sz="0" w:space="0" w:color="auto"/>
            <w:bottom w:val="none" w:sz="0" w:space="0" w:color="auto"/>
            <w:right w:val="none" w:sz="0" w:space="0" w:color="auto"/>
          </w:divBdr>
        </w:div>
        <w:div w:id="1240825135">
          <w:marLeft w:val="0"/>
          <w:marRight w:val="0"/>
          <w:marTop w:val="0"/>
          <w:marBottom w:val="0"/>
          <w:divBdr>
            <w:top w:val="none" w:sz="0" w:space="0" w:color="auto"/>
            <w:left w:val="none" w:sz="0" w:space="0" w:color="auto"/>
            <w:bottom w:val="none" w:sz="0" w:space="0" w:color="auto"/>
            <w:right w:val="none" w:sz="0" w:space="0" w:color="auto"/>
          </w:divBdr>
        </w:div>
        <w:div w:id="880049586">
          <w:marLeft w:val="0"/>
          <w:marRight w:val="0"/>
          <w:marTop w:val="0"/>
          <w:marBottom w:val="0"/>
          <w:divBdr>
            <w:top w:val="none" w:sz="0" w:space="0" w:color="auto"/>
            <w:left w:val="none" w:sz="0" w:space="0" w:color="auto"/>
            <w:bottom w:val="none" w:sz="0" w:space="0" w:color="auto"/>
            <w:right w:val="none" w:sz="0" w:space="0" w:color="auto"/>
          </w:divBdr>
        </w:div>
        <w:div w:id="1199661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2016-04-14T00:15:00Z</dcterms:created>
  <dcterms:modified xsi:type="dcterms:W3CDTF">2016-04-14T00:15:00Z</dcterms:modified>
</cp:coreProperties>
</file>